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稟議書 テンプレート</w:t>
      </w:r>
    </w:p>
    <w:p>
      <w:pPr>
        <w:pStyle w:val="Heading1"/>
      </w:pPr>
      <w:r>
        <w:t xml:space="preserve">基本情報・承認ルート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稟議番号・起案日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起案者・所属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承認ルート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合議部署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稟議の内容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件名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目的・背景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実施内容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比較検討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期待効果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添付資料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予算内訳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単価（円）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合計（税抜）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稟議書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件名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2026年春 業界展示会への出展の件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起案者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マーケティング部 高橋 美咲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承認ルート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マーケティング課長 → 部長 → 担当役員 → 社長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稟議金額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890,000円（税抜）／税込979,000円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決裁希望日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2026年11月13日（金）— 出展申込締切のため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単価（円）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出展小間料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1小間（9㎡）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450,000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450,000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ブース装飾・施工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A社見積、パネル・照明含む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380,000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380,000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配布用ノベルティ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ロゴ入りボールペン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500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60,000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稟議書 テンプレート</dc:title>
  <dc:creator>Workbami</dc:creator>
  <dc:language>ja</dc:language>
</cp:coreProperties>
</file>