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Internal proposal template</w:t>
      </w:r>
    </w:p>
    <w:p>
      <w:pPr>
        <w:pStyle w:val="Heading1"/>
      </w:pPr>
      <w:r>
        <w:t xml:space="preserve">Header (filing and approval)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Document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and author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Approval chain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Effective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Retention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Body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Title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Background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Proposal details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Expected benefits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Attachments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Implementation timeline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Step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Deliverable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Internal proposal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Document no.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OPS-2026-118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Title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Pilot of flexible start times (8–10 a.m.)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Author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Jamie Carter, Operations (Nov 1, 2026)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Approval chain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Ops Manager → COO → CEO; consulted: HR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Effective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December 1, 2026 (3-month pilot, then review)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Summary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Let staff choose a start time between 8 and 10 a.m. while keeping an 8-hour day and core hours of 10 a.m.–4 p.m.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Step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Deliverable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Check contracts and time-tracking impact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Dana Lee, HR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14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Review note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Finalize and announce guidelines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Jamie Carter, Ops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Guideline and announcement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Update start-time settings in time tracking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Sam Patel, 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Change confirmation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Start pilot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Team leads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Dec 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Team start-time sheet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Mid-pilot survey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Jamie Carter, Ops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Jan 15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Survey summary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Internal proposal template</dc:title>
  <dc:creator>Workbami</dc:creator>
  <dc:language>en</dc:language>
</cp:coreProperties>
</file>