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Modele note interne</w:t>
      </w:r>
    </w:p>
    <w:p>
      <w:pPr>
        <w:pStyle w:val="Heading1"/>
      </w:pPr>
      <w:r>
        <w:t xml:space="preserve">En-tête et circuit de validation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Référence et date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Émetteur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Destinataires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Circuit de visa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 d'effet souhaitée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Corps de la note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Objet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Contexte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Proposition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Avantages attendus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Pièces jointes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Calendrier de mise en œuvre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Étape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Responsable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Échéance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Livrable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Exemple — Modele note interne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Référence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NI-2026-031 du 3 novembre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Émetteur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Claire Martin, responsable RH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Objet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Deuxième jour de télétravail pour les fonctions support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Circuit de visa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Responsable RH → DAF → Directeur général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 d'effet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1er janvier 2027, après avis du CSE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Étape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Responsable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Échéance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Livrable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Présentation au comité de direction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Claire Martin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10/11/2026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Note validée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Consultation du CSE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Claire Martin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15/12/2026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Avis du CSE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Mise à jour de la charte télétravail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Service juridique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20/12/2026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Charte révisée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Information des équipes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Managers de site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22/12/2026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Courriel et réunion d'équipe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https://workbami.com/fr/templates/draft-proposal/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fr" w:eastAsia="f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Modele note interne</dc:title>
  <dc:creator>Workbami</dc:creator>
  <dc:language>fr</dc:language>
</cp:coreProperties>
</file>