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proposta interna</w:t>
      </w:r>
    </w:p>
    <w:p>
      <w:pPr>
        <w:pStyle w:val="Heading1"/>
      </w:pPr>
      <w:r>
        <w:t xml:space="preserve">Cabeçalho e fluxo de aprovação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e data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Fluxo de aprovação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de vigência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Corpo da proposta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Situação atual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Proposta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Benefícios esperados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Anexos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Cronograma de implantação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Etapa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Entregável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proposta interna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PI-2026-031, 3 de novembro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Fernanda Souza, Recursos Humanos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Dois dias de home office para áreas administrativas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Fluxo de aprovação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Gerente de RH → Diretor financeiro → Diretor geral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Vigência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de janeiro de 2027, após assinatura dos aditivos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Etapa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Entregável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Apresentação ao comitê de diretoria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Fernanda Souza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Proposta aprovada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Revisão jurídica do aditivo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Jurídico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25/11/2026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Minuta revisada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Assinatura dos aditivos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Fernanda Souza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Aditivos assinados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Comunicado às equipes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Gerentes de unidade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E-mail e reunião de equipe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proposta interna</dc:title>
  <dc:creator>Workbami</dc:creator>
  <dc:language>pt-BR</dc:language>
</cp:coreProperties>
</file>