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发文稿纸 模板</w:t>
      </w:r>
    </w:p>
    <w:p>
      <w:pPr>
        <w:pStyle w:val="Heading1"/>
      </w:pPr>
      <w:r>
        <w:t xml:space="preserve">办文信息（审批栏）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发文字号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拟稿人及日期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核稿人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会签部门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签发人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保存期限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正文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标题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主送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目的与依据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具体内容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实施时间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附件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实施计划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步骤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负责人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完成时间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成果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填写范例 — 发文稿纸 模板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发文字号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综〔2026〕118号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标题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关于试行弹性上班时间的通知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拟稿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综合管理部 王晓雨（2026年11月1日）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核稿 / 会签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综合管理部经理 陈立 / 人力资源部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签发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总经理（待签）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要点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员工可在8:00—10:00之间选择上班时间，每日工作8小时和10:00—16:00核心时间不变，试行三个月。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步骤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负责人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完成时间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成果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评估对考勤制度和劳动合同的影响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人力资源部 张敏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11月14日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评估意见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确定实施细则并全员通知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综合管理部 王晓雨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11月20日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实施细则、通知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调整考勤系统上班时间设置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信息部 李强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11月27日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调整完成报告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开始试行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各部门负责人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12月1日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部门上班时间登记表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中期满意度调查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综合管理部 王晓雨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1月15日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调查报告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https://workbami.com/zh-CN/templates/draft-proposal/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zh-CN" w:eastAsia="zh-CN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发文稿纸 模板</dc:title>
  <dc:creator>Workbami</dc:creator>
  <dc:language>zh-CN</dc:language>
</cp:coreProperties>
</file>