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Form reimbursement biaya</w:t>
      </w:r>
    </w:p>
    <w:p>
      <w:pPr>
        <w:pStyle w:val="Heading1"/>
      </w:pPr>
      <w:r>
        <w:t xml:space="preserve">Data pengaju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pengajuan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/ divisi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Periode biaya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Keperluan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Kode proyek / cost center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Metode penggantian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Total dan persetujuan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klaim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Dikurangi kasbon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 yang dibayarkan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Tanda tangan pengaju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Persetujuan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Rincian biaya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Kategori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Keterangan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Bukti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Form reimbursement biaya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Pengaju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Dewi Lestari, Sales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13–15 Oktober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Keperluan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Kunjungan ke klien PT Nusantara Makmur di Surabaya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Kasbon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Rp2.500.000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Persetujuan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Manajer Sales → Finance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Kategori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Keterangan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Bukti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Transportasi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Kereta Jakarta–Surabaya pulang pergi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B-01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1.450.000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Akomodasi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Hotel di Surabaya, 2 malam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B-02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1.300.000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Jamuan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Makan siang dengan 3 orang dari PT Nusantara Makmur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B-03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735.000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Transportasi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Taksi online stasiun – hotel – kantor klien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B-04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240.000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 reimbursement biaya</dc:title>
  <dc:creator>Workbami</dc:creator>
  <dc:language>id</dc:language>
</cp:coreProperties>
</file>