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Contoh invoice</w:t>
      </w:r>
    </w:p>
    <w:p>
      <w:pPr>
        <w:pStyle w:val="Heading1"/>
      </w:pPr>
      <w:r>
        <w:t xml:space="preserve">Kepala invoice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Nomor invoice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 invoice dan jatuh tempo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Penjual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Pelanggan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Referensi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Pembayaran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Rekening tujuan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Syarat pembayaran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Potongan pajak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Catatan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Rincian yang ditagih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Nama barang/jasa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Keterangan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Harga satuan (Rp)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 harga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Contoh — Contoh invoice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Nomor invoice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INV/2026/11/031, 2 November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Pelanggan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PT Kopi Rakyat Sejahtera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Jatuh tempo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16 November 2026, transfer bank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Referensi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PO-KRS-2026-0219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tagihan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Rp6.700.000 (tanpa PPN, penjual belum PKP)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Nama barang/jasa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Keterangan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Harga satuan (Rp)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 harga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Foto produk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Per foto, latar putih, siap katalog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75.000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3.000.000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Editing video promosi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Durasi 30 detik, 2 versi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1.250.000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2.500.000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Sewa studio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Per jam, termasuk lighting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300.000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1.200.000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https://workbami.com/id/templates/invoice/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id" w:eastAsia="id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Contoh invoice</dc:title>
  <dc:creator>Workbami</dc:creator>
  <dc:language>id</dc:language>
</cp:coreProperties>
</file>