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Mau hoa don phieu thanh toan</w:t>
      </w:r>
    </w:p>
    <w:p>
      <w:pPr>
        <w:pStyle w:val="Heading1"/>
      </w:pPr>
      <w:r>
        <w:t xml:space="preserve">Thông tin chung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Số phiếu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Ngày lập và hạn thanh toán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Bên bán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Bên mua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Căn cứ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Thanh toán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Hình thức thanh toán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Nội dung chuyển khoản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Hóa đơn điện tử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Ghi chú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Hàng hóa, dịch vụ thanh toán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</w:trPr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Tên hàng hóa, dịch vụ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Quy cách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Số lượng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Đơn giá (đ)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Thành tiền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Thuế GTGT 10%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Tổng cộng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Ví dụ — Mau hoa don phieu thanh toan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Số phiếu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TT-2026-112, ngày 02/11/2026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Bên mua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Công ty CP Cà Phê Phố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Hạn thanh toán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17/11/2026, chuyển khoản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Hóa đơn điện tử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Xuất sau khi nhận đủ thanh toán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Tổng thanh toán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22.000.000 đ (20.000.000 đ + thuế GTGT 2.000.000 đ)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</w:trPr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Tên hàng hóa, dịch vụ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Quy cách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Số lượng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Đơn giá (đ)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Thành tiền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Thuế GTGT 10%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Thiết kế nhận diện thương hiệu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Logo, bảng màu, bộ hướng dẫn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15.000.000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15.000.000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1.500.000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In danh thiếp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Hộp 100 tờ, giấy C300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20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120.000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2.400.000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240.000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Banner cuốn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80 × 200 cm, kèm chân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650.000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2.600.000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260.000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https://workbami.com/vi/templates/invoice/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vi" w:eastAsia="vi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Mau hoa don phieu thanh toan</dc:title>
  <dc:creator>Workbami</dc:creator>
  <dc:language>vi</dc:language>
</cp:coreProperties>
</file>