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Solicitud de vacaciones</w:t>
      </w:r>
    </w:p>
    <w:p>
      <w:pPr>
        <w:pStyle w:val="Heading1"/>
      </w:pPr>
      <w:r>
        <w:t xml:space="preserve">Datos de la persona solicitante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Nombre y apellidos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Departamento y puesto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de empleado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Contacto durante la ausencia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Datos de la ausencia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Tipo de ausencia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Fechas y días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Sustitución y traspaso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Justificantes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Aprobaciones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Traspaso de tareas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Qué hacer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Dónde está la información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Solicitud de vacaciones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Solicitante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Lucía Fernández Ruiz, ejecutiva de cuentas, Ventas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Tipo de ausencia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Vacaciones anuales retribuidas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Del lunes 17 al viernes 21 de noviembre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Días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5 laborables (saldo 14 → 9)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Sustituto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Javier Gómez (traspaso confirmado el 10 de noviembre)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Qué hacer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Dónde está la información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Pedidos de clientes de noviembre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Javier Gómez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Confirmar cantidades antes del día 18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CRM &gt; Pedidos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Presupuestos nuevos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Javier Gómez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Responder en un día laborable; descuentos con visto bueno de la responsable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Tarifa de precios v3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Informe semanal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Marta Ortega (responsable)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 agrupa con el de la semana siguiente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Carpeta de informes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Reclamaciones de clientes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Atención al cliente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Llamar solo en casos urgentes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Manual de reclamaciones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Solicitud de vacaciones</dc:title>
  <dc:creator>Workbami</dc:creator>
  <dc:language>es</dc:language>
</cp:coreProperties>
</file>