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Purchase order template</w:t>
      </w:r>
    </w:p>
    <w:p>
      <w:pPr>
        <w:pStyle w:val="Heading1"/>
      </w:pPr>
      <w:r>
        <w:t xml:space="preserve">Order details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PO number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Order date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Buyer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Supplier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Ship to and delivery date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Payment terms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Terms and approval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Shipping and tax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Special terms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Authorized by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Order items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Description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Qty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Unit price (USD)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Subtotal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Example — Purchase order template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PO number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PO-2026-1031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Supplier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Brightline Office Furniture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Delivery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By November 14, 2026, 1200 Main St, Suite 400, Austin TX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Payment terms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Net 30, ACH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Order total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$2,880.47 (subtotal $2,660.94 + 8.25% sales tax $219.53)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Description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Qty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Unit price (USD)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Ergonomic task chair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Mesh back, adjustable arms, black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249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1,494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Monitor arm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Single, clamp mount, up to 32 in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64.5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387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USB-C docking station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Dual display, 100 W charging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129.99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779.94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https://workbami.com/templates/purchase-order/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en" w:eastAsia="en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Purchase order template</dc:title>
  <dc:creator>Workbami</dc:creator>
  <dc:language>en</dc:language>
</cp:coreProperties>
</file>