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Template surat penawaran harga</w:t>
      </w:r>
    </w:p>
    <w:p>
      <w:pPr>
        <w:pStyle w:val="Heading1"/>
      </w:pPr>
      <w:r>
        <w:t xml:space="preserve">Kepala surat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Nomor dan tanggal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Masa berlaku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Penjual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Kepada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Perihal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Syarat dan ketentuan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Waktu pengerjaan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Pembayaran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Pajak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Penutup dan tanda tangan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Barang dan jasa yang ditawarkan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barang/jasa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Spesifikasi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Harga satuan (Rp)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Template surat penawaran harga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045/SPH/X/2026, 31 Oktober 2026, berlaku sampai 14 November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Penjual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CV Cetak Kreatif Nusantara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Kepada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PT Kopi Merapi Sejahtera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penawaran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Rp5.600.000 (belum termasuk PPN)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Pembayaran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DP 50%, pelunasan saat barang diterima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barang/jasa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Spesifikasi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Harga satuan (Rp)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Desain logo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 konsep, 2 kali revisi, file vektor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3.500.000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3.500.000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Kartu nama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Art carton 260 gsm, 1 kotak isi 100 lembar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150.000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750.000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Spanduk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Flexi 280 gsm, 3 × 1 meter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450.000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1.350.000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Template surat penawaran harga</dc:title>
  <dc:creator>Workbami</dc:creator>
  <dc:language>id</dc:language>
</cp:coreProperties>
</file>