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Mau bao gia</w:t>
      </w:r>
    </w:p>
    <w:p>
      <w:pPr>
        <w:pStyle w:val="Heading1"/>
      </w:pPr>
      <w:r>
        <w:t xml:space="preserve">Thông tin chung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Số và ngày báo giá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Hiệu lực báo giá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Bên báo giá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Khách hàng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Nội dung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Điều kiện thương mại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Thời gian giao hàng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Thanh toán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Bảo hành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Xác nhận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Hàng hóa được báo giá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Tên hàng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Quy cách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Số lượng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Đơn giá (đ)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Thành tiền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Thuế GTGT 10%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Cộng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Ví dụ — Mau bao gia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Báo giá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BG-2026-1031-01, ngày 31/10/2026, hiệu lực đến 15/11/2026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Bên báo giá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Công ty TNHH Nội Thất An Phát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Khách hàng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Công ty CP Phần Mềm Sao Mai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Tổng thanh toán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61.380.000 đ (55.800.000 đ chưa thuế + 5.580.000 đ thuế GTGT)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Thanh toán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Tạm ứng 30%, phần còn lại sau nghiệm thu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/>
        </w:trPr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Tên hàng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Quy cách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Số lượng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Đơn giá (đ)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Thành tiền</w:t>
            </w:r>
          </w:p>
        </w:tc>
        <w:tc>
          <w:tcPr>
            <w:tcW w:w="1606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Thuế GTGT 10%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Bàn làm việc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1,4 m, MDF chống ẩm, chân sắt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2.500.000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25.000.000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2.500.000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Ghế văn phòng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Lưng lưới, tay cố định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1.800.000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18.000.000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1.800.000</w:t>
            </w:r>
          </w:p>
        </w:tc>
      </w:tr>
      <w:tr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Tủ hồ sơ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Tủ sắt 4 ngăn có khóa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3.200.000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12.800.000</w:t>
            </w:r>
          </w:p>
        </w:tc>
        <w:tc>
          <w:tcPr>
            <w:tcW w:w="1606" w:type="dxa"/>
          </w:tcPr>
          <w:p>
            <w:r>
              <w:rPr>
                <w:sz w:val="20"/>
                <w:szCs w:val="20"/>
              </w:rPr>
              <w:t xml:space="preserve">1.280.000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https://workbami.com/vi/templates/quotation/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vi" w:eastAsia="vi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Mau bao gia</dc:title>
  <dc:creator>Workbami</dc:creator>
  <dc:language>vi</dc:language>
</cp:coreProperties>
</file>