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Template laporan mingguan</w:t>
      </w:r>
    </w:p>
    <w:p>
      <w:pPr>
        <w:pStyle w:val="Heading1"/>
      </w:pPr>
      <w:r>
        <w:t xml:space="preserve">Data umum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Minggu laporan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/ divisi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Ditujukan kepada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 keseluruhan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Isi laporan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Ringkasan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 minggu ini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Rencana minggu depan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Kendala / risiko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Permintaan / keputusan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Indikator utama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Progres pekerjaan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Progres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Template laporan mingguan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Minggu laporan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Minggu ke-43 (19–23 Oktober 2026)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Penulis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Rina Wulandari,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 keseluruhan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Kuning: sesi foto produk baru mundur 2 hari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Ringkasan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Kampanye Oktober menghasilkan penjualan Rp950 juta (112% target). Sesi foto mundur ke 28/10 sehingga perlu diputuskan apakah halaman produk rilis 30/10 atau 2/11.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Bantuan yang dibutuhkan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Persetujuan tanggal rilis baru sebelum Selasa.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Progres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Menjalankan kampanye Oktober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Rina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Selesai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Halaman produk baru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Rina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Berisiko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Ganti materi iklan media sosial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Andi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Sesuai rencana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Newsletter November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Sari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Sesuai rencana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Draf selesai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Template laporan mingguan</dc:title>
  <dc:creator>Workbami</dc:creator>
  <dc:language>id</dc:language>
</cp:coreProperties>
</file>