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工作週報範本</w:t>
      </w:r>
    </w:p>
    <w:p>
      <w:pPr>
        <w:pStyle w:val="Heading1"/>
      </w:pPr>
      <w:r>
        <w:t xml:space="preserve">基本資料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報告期間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姓名／部門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報告對象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整體狀態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內容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本週摘要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本週完成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下週計畫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問題與風險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需協調／決策事項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關鍵數據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工作進度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工作項目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負責人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狀態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進度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期限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填寫範例 — 工作週報範本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報告期間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第43週（10/19～10/23）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報告人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行銷部 王雅婷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整體狀態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注意：新品頁面拍攝延後 2 天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本週摘要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秋季活動營收 180 萬元，達成目標 112%。商品頁拍攝延到 10/28，需決定 10/30 的上線日是否調整。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需決策事項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請於週二前確認是否改為 11/2 上線。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工作項目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負責人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狀態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進度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期限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秋季活動執行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王雅婷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完成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10/23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新品商品頁製作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王雅婷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注意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10/30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社群廣告素材更新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陳柏翰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正常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10/27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11 月電子報企劃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林佳穎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正常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初稿完成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11/3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https://workbami.com/zh-TW/templates/weekly-status-report/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TW" w:eastAsia="zh-TW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工作週報範本</dc:title>
  <dc:creator>Workbami</dc:creator>
  <dc:language>zh-TW</dc:language>
</cp:coreProperties>
</file>